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kinsoku w:val="0"/>
        <w:overflowPunct w:val="0"/>
        <w:autoSpaceDE w:val="0"/>
        <w:autoSpaceDN w:val="0"/>
        <w:adjustRightInd w:val="0"/>
        <w:snapToGrid w:val="0"/>
        <w:spacing w:beforeAutospacing="0" w:afterAutospacing="0" w:line="360" w:lineRule="auto"/>
        <w:jc w:val="center"/>
        <w:rPr>
          <w:b/>
          <w:color w:val="000000" w:themeColor="text1"/>
          <w:sz w:val="28"/>
          <w:szCs w:val="28"/>
          <w14:textFill>
            <w14:solidFill>
              <w14:schemeClr w14:val="tx1"/>
            </w14:solidFill>
          </w14:textFill>
        </w:rPr>
      </w:pPr>
      <w:r>
        <w:rPr>
          <w:rFonts w:hint="eastAsia"/>
          <w:b/>
          <w:bCs/>
          <w:color w:val="000000" w:themeColor="text1"/>
          <w:sz w:val="30"/>
          <w:szCs w:val="30"/>
          <w14:textFill>
            <w14:solidFill>
              <w14:schemeClr w14:val="tx1"/>
            </w14:solidFill>
          </w14:textFill>
        </w:rPr>
        <w:t>郏县公安交通警察大队关于郏县城区道路交通</w:t>
      </w:r>
      <w:bookmarkStart w:id="0" w:name="_GoBack"/>
      <w:bookmarkEnd w:id="0"/>
      <w:r>
        <w:rPr>
          <w:rFonts w:hint="eastAsia"/>
          <w:b/>
          <w:bCs/>
          <w:color w:val="000000" w:themeColor="text1"/>
          <w:sz w:val="30"/>
          <w:szCs w:val="30"/>
          <w14:textFill>
            <w14:solidFill>
              <w14:schemeClr w14:val="tx1"/>
            </w14:solidFill>
          </w14:textFill>
        </w:rPr>
        <w:t>标线施划</w:t>
      </w:r>
      <w:r>
        <w:rPr>
          <w:rFonts w:hint="eastAsia"/>
          <w:b/>
          <w:color w:val="000000" w:themeColor="text1"/>
          <w:sz w:val="28"/>
          <w:szCs w:val="28"/>
          <w14:textFill>
            <w14:solidFill>
              <w14:schemeClr w14:val="tx1"/>
            </w14:solidFill>
          </w14:textFill>
        </w:rPr>
        <w:t>工程</w:t>
      </w:r>
    </w:p>
    <w:p>
      <w:pPr>
        <w:pStyle w:val="3"/>
        <w:widowControl w:val="0"/>
        <w:kinsoku w:val="0"/>
        <w:overflowPunct w:val="0"/>
        <w:autoSpaceDE w:val="0"/>
        <w:autoSpaceDN w:val="0"/>
        <w:adjustRightInd w:val="0"/>
        <w:snapToGrid w:val="0"/>
        <w:spacing w:beforeAutospacing="0" w:afterAutospacing="0" w:line="360" w:lineRule="auto"/>
        <w:jc w:val="center"/>
        <w:rPr>
          <w:bCs/>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公开招标公告</w:t>
      </w:r>
    </w:p>
    <w:p>
      <w:pPr>
        <w:pStyle w:val="3"/>
        <w:widowControl w:val="0"/>
        <w:kinsoku w:val="0"/>
        <w:overflowPunct w:val="0"/>
        <w:autoSpaceDE w:val="0"/>
        <w:autoSpaceDN w:val="0"/>
        <w:adjustRightInd w:val="0"/>
        <w:snapToGrid w:val="0"/>
        <w:spacing w:beforeAutospacing="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1、招标条件</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郏县城区道路交通标线施划工程已具备招标条件，招标人为郏县公安交通警察大队，建设资金来自财政资金，资金已落实，出资比例100%。现对该工程进行公开招标。</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招标编号：</w:t>
      </w:r>
      <w:r>
        <w:rPr>
          <w:rFonts w:hint="eastAsia"/>
          <w:bCs/>
          <w:color w:val="000000" w:themeColor="text1"/>
          <w:sz w:val="21"/>
          <w:szCs w:val="21"/>
          <w:lang w:val="en-US" w:eastAsia="zh-CN"/>
          <w14:textFill>
            <w14:solidFill>
              <w14:schemeClr w14:val="tx1"/>
            </w14:solidFill>
          </w14:textFill>
        </w:rPr>
        <w:t>JZC2017-047Bg</w:t>
      </w:r>
    </w:p>
    <w:p>
      <w:pPr>
        <w:pStyle w:val="3"/>
        <w:widowControl w:val="0"/>
        <w:kinsoku w:val="0"/>
        <w:overflowPunct w:val="0"/>
        <w:autoSpaceDE w:val="0"/>
        <w:autoSpaceDN w:val="0"/>
        <w:adjustRightInd w:val="0"/>
        <w:snapToGrid w:val="0"/>
        <w:spacing w:beforeAutospacing="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2、项目概况与招标范围</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项目概况：施工内容包括郏县行政路、龙山大道、东坡大道、复兴路、经一路、经二路、城区（停车位）的行车线、斑马线等交通标线的施划，投资额80万元。</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招标范围：工程量清单中全部内容。</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质量要求：合格。</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工期：20日历天。</w:t>
      </w:r>
    </w:p>
    <w:p>
      <w:pPr>
        <w:pStyle w:val="3"/>
        <w:widowControl w:val="0"/>
        <w:kinsoku w:val="0"/>
        <w:overflowPunct w:val="0"/>
        <w:autoSpaceDE w:val="0"/>
        <w:autoSpaceDN w:val="0"/>
        <w:adjustRightInd w:val="0"/>
        <w:snapToGrid w:val="0"/>
        <w:spacing w:beforeAutospacing="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3、投标人资格要求</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3.1、投标人必须具有独立法人资格，具有有效的企业法人营业执照、税务登记证、组织机构代码证（或三证合一营业执照），本次招标不接受联合体投标，不允许分包、转包。</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3.2、投标人须具有</w:t>
      </w:r>
      <w:r>
        <w:rPr>
          <w:rFonts w:ascii="BACUMH+FangSong_GB2312-Identity" w:hAnsi="BACUMH+FangSong_GB2312-Identity" w:cs="BACUMH+FangSong_GB2312-Identity"/>
          <w:color w:val="000000" w:themeColor="text1"/>
          <w:sz w:val="21"/>
          <w:szCs w:val="21"/>
          <w14:textFill>
            <w14:solidFill>
              <w14:schemeClr w14:val="tx1"/>
            </w14:solidFill>
          </w14:textFill>
        </w:rPr>
        <w:t>市政公用工程施工总承包</w:t>
      </w:r>
      <w:r>
        <w:rPr>
          <w:rFonts w:hint="eastAsia" w:ascii="BACUMH+FangSong_GB2312-Identity" w:hAnsi="BACUMH+FangSong_GB2312-Identity" w:cs="BACUMH+FangSong_GB2312-Identity"/>
          <w:color w:val="000000" w:themeColor="text1"/>
          <w:sz w:val="21"/>
          <w:szCs w:val="21"/>
          <w14:textFill>
            <w14:solidFill>
              <w14:schemeClr w14:val="tx1"/>
            </w14:solidFill>
          </w14:textFill>
        </w:rPr>
        <w:t>叁级</w:t>
      </w:r>
      <w:r>
        <w:rPr>
          <w:rFonts w:hint="eastAsia"/>
          <w:color w:val="000000" w:themeColor="text1"/>
          <w:sz w:val="21"/>
          <w:szCs w:val="21"/>
          <w14:textFill>
            <w14:solidFill>
              <w14:schemeClr w14:val="tx1"/>
            </w14:solidFill>
          </w14:textFill>
        </w:rPr>
        <w:t>及以上资质，并具有企业安全生产许可证。</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3.3、项目经理须具有</w:t>
      </w:r>
      <w:r>
        <w:rPr>
          <w:rFonts w:ascii="FOWGTG+FangSong_GB2312-Identity" w:hAnsi="FOWGTG+FangSong_GB2312-Identity" w:cs="FOWGTG+FangSong_GB2312-Identity"/>
          <w:color w:val="000000" w:themeColor="text1"/>
          <w:sz w:val="21"/>
          <w:szCs w:val="21"/>
          <w14:textFill>
            <w14:solidFill>
              <w14:schemeClr w14:val="tx1"/>
            </w14:solidFill>
          </w14:textFill>
        </w:rPr>
        <w:t>市政公用工程专业</w:t>
      </w:r>
      <w:r>
        <w:rPr>
          <w:rFonts w:hint="eastAsia"/>
          <w:color w:val="000000" w:themeColor="text1"/>
          <w:sz w:val="21"/>
          <w:szCs w:val="21"/>
          <w14:textFill>
            <w14:solidFill>
              <w14:schemeClr w14:val="tx1"/>
            </w14:solidFill>
          </w14:textFill>
        </w:rPr>
        <w:t>二级及以上注册建造师资格（含临时建造师执业证）证书，并具有有效的安全生产考核合格证，且必须为本单位正式人员；无在建工程（需提供无在建工程承诺书）。</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3.4、技术负责人具有中级及以上职称</w:t>
      </w:r>
      <w:r>
        <w:rPr>
          <w:rFonts w:hint="eastAsia"/>
          <w:bCs/>
          <w:color w:val="000000" w:themeColor="text1"/>
          <w:sz w:val="21"/>
          <w:szCs w:val="21"/>
          <w14:textFill>
            <w14:solidFill>
              <w14:schemeClr w14:val="tx1"/>
            </w14:solidFill>
          </w14:textFill>
        </w:rPr>
        <w:t>（网上可查询，提供查询网页）</w:t>
      </w:r>
      <w:r>
        <w:rPr>
          <w:rFonts w:hint="eastAsia"/>
          <w:color w:val="000000" w:themeColor="text1"/>
          <w:sz w:val="21"/>
          <w:szCs w:val="21"/>
          <w14:textFill>
            <w14:solidFill>
              <w14:schemeClr w14:val="tx1"/>
            </w14:solidFill>
          </w14:textFill>
        </w:rPr>
        <w:t>，且必须为本单位正式人员。</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3.5、拟派施工员、质检（量）员、安全员、</w:t>
      </w:r>
      <w:r>
        <w:rPr>
          <w:rFonts w:hint="eastAsia"/>
          <w:color w:val="000000" w:themeColor="text1"/>
          <w:sz w:val="21"/>
          <w:szCs w:val="21"/>
          <w:lang w:eastAsia="zh-CN"/>
          <w14:textFill>
            <w14:solidFill>
              <w14:schemeClr w14:val="tx1"/>
            </w14:solidFill>
          </w14:textFill>
        </w:rPr>
        <w:t>预算员</w:t>
      </w:r>
      <w:r>
        <w:rPr>
          <w:rFonts w:hint="eastAsia"/>
          <w:color w:val="000000" w:themeColor="text1"/>
          <w:sz w:val="21"/>
          <w:szCs w:val="21"/>
          <w14:textFill>
            <w14:solidFill>
              <w14:schemeClr w14:val="tx1"/>
            </w14:solidFill>
          </w14:textFill>
        </w:rPr>
        <w:t>和材料员具有有效的岗位证书</w:t>
      </w:r>
      <w:r>
        <w:rPr>
          <w:rFonts w:hint="eastAsia"/>
          <w:bCs/>
          <w:color w:val="000000" w:themeColor="text1"/>
          <w:sz w:val="21"/>
          <w:szCs w:val="21"/>
          <w14:textFill>
            <w14:solidFill>
              <w14:schemeClr w14:val="tx1"/>
            </w14:solidFill>
          </w14:textFill>
        </w:rPr>
        <w:t>（网上可</w:t>
      </w:r>
      <w:r>
        <w:rPr>
          <w:rFonts w:hint="eastAsia"/>
          <w:color w:val="000000" w:themeColor="text1"/>
          <w:sz w:val="21"/>
          <w:szCs w:val="21"/>
          <w14:textFill>
            <w14:solidFill>
              <w14:schemeClr w14:val="tx1"/>
            </w14:solidFill>
          </w14:textFill>
        </w:rPr>
        <w:t>查询，提供查询网页），且必须为本单位正式人员。</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r>
        <w:rPr>
          <w:rFonts w:hint="eastAsia"/>
          <w:color w:val="000000" w:themeColor="text1"/>
          <w:sz w:val="21"/>
          <w:szCs w:val="21"/>
          <w14:textFill>
            <w14:solidFill>
              <w14:schemeClr w14:val="tx1"/>
            </w14:solidFill>
          </w14:textFill>
        </w:rPr>
        <w:t>所投</w:t>
      </w:r>
      <w:r>
        <w:rPr>
          <w:rFonts w:hint="eastAsia" w:ascii="??" w:hAnsi="??" w:cs="Arial"/>
          <w:color w:val="000000" w:themeColor="text1"/>
          <w:kern w:val="0"/>
          <w:sz w:val="21"/>
          <w:szCs w:val="21"/>
          <w14:textFill>
            <w14:solidFill>
              <w14:schemeClr w14:val="tx1"/>
            </w14:solidFill>
          </w14:textFill>
        </w:rPr>
        <w:t>施划标线产品材料（热熔型交通标线涂料）须提供国家交通安全设施质量监督检验中心或交通运输部工程监理检测中心的检测报告</w:t>
      </w:r>
      <w:r>
        <w:rPr>
          <w:rFonts w:hint="eastAsia" w:ascii="宋体" w:cs="宋体"/>
          <w:color w:val="000000" w:themeColor="text1"/>
          <w:kern w:val="0"/>
          <w:sz w:val="21"/>
          <w:szCs w:val="21"/>
          <w:lang w:val="zh-CN"/>
          <w14:textFill>
            <w14:solidFill>
              <w14:schemeClr w14:val="tx1"/>
            </w14:solidFill>
          </w14:textFill>
        </w:rPr>
        <w:t>；</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7</w:t>
      </w:r>
      <w:r>
        <w:rPr>
          <w:rFonts w:hint="eastAsia"/>
          <w:color w:val="000000" w:themeColor="text1"/>
          <w:sz w:val="21"/>
          <w:szCs w:val="21"/>
          <w14:textFill>
            <w14:solidFill>
              <w14:schemeClr w14:val="tx1"/>
            </w14:solidFill>
          </w14:textFill>
        </w:rPr>
        <w:t>、投标人应提供自2014年1月1日（以合同签订日期为准）以来类似业绩 1 份</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需提供施工合同、中标通知书）。</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8</w:t>
      </w:r>
      <w:r>
        <w:rPr>
          <w:rFonts w:hint="eastAsia"/>
          <w:color w:val="000000" w:themeColor="text1"/>
          <w:sz w:val="21"/>
          <w:szCs w:val="21"/>
          <w14:textFill>
            <w14:solidFill>
              <w14:schemeClr w14:val="tx1"/>
            </w14:solidFill>
          </w14:textFill>
        </w:rPr>
        <w:t>、近三年度（2014、2015、2016年度）经审计的财务报告</w:t>
      </w:r>
      <w:r>
        <w:rPr>
          <w:rFonts w:hint="eastAsia" w:ascii="宋体" w:cs="宋体"/>
          <w:color w:val="000000" w:themeColor="text1"/>
          <w:kern w:val="0"/>
          <w:sz w:val="21"/>
          <w:szCs w:val="21"/>
          <w14:textFill>
            <w14:solidFill>
              <w14:schemeClr w14:val="tx1"/>
            </w14:solidFill>
          </w14:textFill>
        </w:rPr>
        <w:t>（提供注册会计师网鉴定报告查询页面）</w:t>
      </w:r>
      <w:r>
        <w:rPr>
          <w:rFonts w:hint="eastAsia"/>
          <w:color w:val="000000" w:themeColor="text1"/>
          <w:sz w:val="21"/>
          <w:szCs w:val="21"/>
          <w14:textFill>
            <w14:solidFill>
              <w14:schemeClr w14:val="tx1"/>
            </w14:solidFill>
          </w14:textFill>
        </w:rPr>
        <w:t>，如投标单位为新成立企业，提供自注册年度后的经审计的财务报告，财务状况良好。</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、投标人需提供企业所在地检察院出具的无行贿犯罪档案查询的证明（符合豫检会【2015】7号文件规定），应当针对投标单位、法定代表人和项目经理进行行贿犯罪档案查询。</w:t>
      </w:r>
    </w:p>
    <w:p>
      <w:pPr>
        <w:pStyle w:val="3"/>
        <w:widowControl w:val="0"/>
        <w:shd w:val="clear" w:color="auto" w:fill="FFFFFF"/>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3.</w:t>
      </w:r>
      <w:r>
        <w:rPr>
          <w:rFonts w:hint="eastAsia"/>
          <w:bCs/>
          <w:color w:val="000000" w:themeColor="text1"/>
          <w:sz w:val="21"/>
          <w:szCs w:val="21"/>
          <w:lang w:val="en-US" w:eastAsia="zh-CN"/>
          <w14:textFill>
            <w14:solidFill>
              <w14:schemeClr w14:val="tx1"/>
            </w14:solidFill>
          </w14:textFill>
        </w:rPr>
        <w:t>10</w:t>
      </w:r>
      <w:r>
        <w:rPr>
          <w:rFonts w:hint="eastAsia"/>
          <w:bCs/>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投标人需</w:t>
      </w:r>
      <w:r>
        <w:rPr>
          <w:rFonts w:hint="eastAsia"/>
          <w:color w:val="000000" w:themeColor="text1"/>
          <w:sz w:val="21"/>
          <w:szCs w:val="21"/>
          <w:shd w:val="clear" w:color="auto" w:fill="FFFFFF"/>
          <w14:textFill>
            <w14:solidFill>
              <w14:schemeClr w14:val="tx1"/>
            </w14:solidFill>
          </w14:textFill>
        </w:rPr>
        <w:t>提供加盖单位公章的“信用中国”网站的“失信被执行人”和“重大税收违法案件当事人名单”、“中国政府采购”网站的“政府采购严重违法失信行为记录名单”查询网页页面打印页，信用信息查询期限自招标公告发布之日起不得有不良记录（执行财库【2016】125号文）。</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3.1</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14:textFill>
            <w14:solidFill>
              <w14:schemeClr w14:val="tx1"/>
            </w14:solidFill>
          </w14:textFill>
        </w:rPr>
        <w:t xml:space="preserve">、本工程资格审查方式：资格后审。 </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注：1、本单位正式人员证明：投标企业拟派的项目经理、技术负责人、施工员、质检（量）员、安全员、</w:t>
      </w:r>
      <w:r>
        <w:rPr>
          <w:rFonts w:hint="eastAsia"/>
          <w:color w:val="000000" w:themeColor="text1"/>
          <w:sz w:val="21"/>
          <w:szCs w:val="21"/>
          <w:lang w:eastAsia="zh-CN"/>
          <w14:textFill>
            <w14:solidFill>
              <w14:schemeClr w14:val="tx1"/>
            </w14:solidFill>
          </w14:textFill>
        </w:rPr>
        <w:t>预算员</w:t>
      </w:r>
      <w:r>
        <w:rPr>
          <w:rFonts w:hint="eastAsia"/>
          <w:color w:val="000000" w:themeColor="text1"/>
          <w:sz w:val="21"/>
          <w:szCs w:val="21"/>
          <w14:textFill>
            <w14:solidFill>
              <w14:schemeClr w14:val="tx1"/>
            </w14:solidFill>
          </w14:textFill>
        </w:rPr>
        <w:t>、材料员及授权委托人都须提供投标单位与其签订的劳动合同，并提供2017年1月份以来单位给以上人员缴纳有连续6个月的网上可查询的养老保险证明，社保部门未提供网络查询服务的需由社保部门出具的加盖社保管理部门章的基本养老保险证明。</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2、在报名期间投标企业提供的所有报名资料经核查后出现任何虚假资料的，直接取消其报名资格。</w:t>
      </w:r>
    </w:p>
    <w:p>
      <w:pPr>
        <w:pStyle w:val="3"/>
        <w:widowControl w:val="0"/>
        <w:kinsoku w:val="0"/>
        <w:overflowPunct w:val="0"/>
        <w:autoSpaceDE w:val="0"/>
        <w:autoSpaceDN w:val="0"/>
        <w:adjustRightInd w:val="0"/>
        <w:snapToGrid w:val="0"/>
        <w:spacing w:beforeAutospacing="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4、报名及招标文件出售信息：</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4.1、报名时间：2017年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日0时00分至2017年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日23时59分。</w:t>
      </w:r>
    </w:p>
    <w:p>
      <w:pPr>
        <w:kinsoku w:val="0"/>
        <w:overflowPunct w:val="0"/>
        <w:autoSpaceDE w:val="0"/>
        <w:autoSpaceDN w:val="0"/>
        <w:adjustRightInd w:val="0"/>
        <w:snapToGrid w:val="0"/>
        <w:spacing w:line="360" w:lineRule="auto"/>
        <w:ind w:firstLine="4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4.2、报名方法：本项目只接受网上报名，不接受其它形式报名。潜在投标人报名需凭CA数字证书通过平顶山市公共资源交易中心网（http://www.pdsggzy.com/)“供应商登录”入口进入交易系统进行报名。具体操作请查看以下链接：</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链接地址：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"http://www.pdsggzy.com/fwzn/11020.jhtml" </w:instrText>
      </w:r>
      <w:r>
        <w:rPr>
          <w:color w:val="000000" w:themeColor="text1"/>
          <w14:textFill>
            <w14:solidFill>
              <w14:schemeClr w14:val="tx1"/>
            </w14:solidFill>
          </w14:textFill>
        </w:rPr>
        <w:fldChar w:fldCharType="separate"/>
      </w:r>
      <w:r>
        <w:rPr>
          <w:rStyle w:val="5"/>
          <w:rFonts w:hint="eastAsia" w:ascii="宋体" w:hAnsi="宋体" w:cs="宋体"/>
          <w:color w:val="000000" w:themeColor="text1"/>
          <w:shd w:val="clear" w:color="auto" w:fill="FFFFFF"/>
          <w14:textFill>
            <w14:solidFill>
              <w14:schemeClr w14:val="tx1"/>
            </w14:solidFill>
          </w14:textFill>
        </w:rPr>
        <w:t>http://www.pdsggzy.com/fwzn/11020.jhtml</w:t>
      </w:r>
      <w:r>
        <w:rPr>
          <w:rStyle w:val="5"/>
          <w:rFonts w:hint="eastAsia" w:ascii="宋体" w:hAnsi="宋体" w:cs="宋体"/>
          <w:color w:val="000000" w:themeColor="text1"/>
          <w:shd w:val="clear" w:color="auto" w:fill="FFFFFF"/>
          <w14:textFill>
            <w14:solidFill>
              <w14:schemeClr w14:val="tx1"/>
            </w14:solidFill>
          </w14:textFill>
        </w:rPr>
        <w:fldChar w:fldCharType="end"/>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办理CA证书：</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"http://www.pdsggzy.com/fwzn/11020.jhtml" </w:instrText>
      </w:r>
      <w:r>
        <w:rPr>
          <w:color w:val="000000" w:themeColor="text1"/>
          <w14:textFill>
            <w14:solidFill>
              <w14:schemeClr w14:val="tx1"/>
            </w14:solidFill>
          </w14:textFill>
        </w:rPr>
        <w:fldChar w:fldCharType="separate"/>
      </w:r>
      <w:r>
        <w:rPr>
          <w:rStyle w:val="5"/>
          <w:rFonts w:hint="eastAsia" w:ascii="宋体" w:hAnsi="宋体" w:cs="宋体"/>
          <w:color w:val="000000" w:themeColor="text1"/>
          <w:shd w:val="clear" w:color="auto" w:fill="FFFFFF"/>
          <w14:textFill>
            <w14:solidFill>
              <w14:schemeClr w14:val="tx1"/>
            </w14:solidFill>
          </w14:textFill>
        </w:rPr>
        <w:t>http://www.pdsggzy.com/tzgg10814.jhtml</w:t>
      </w:r>
      <w:r>
        <w:rPr>
          <w:rStyle w:val="5"/>
          <w:rFonts w:hint="eastAsia" w:ascii="宋体" w:hAnsi="宋体" w:cs="宋体"/>
          <w:color w:val="000000" w:themeColor="text1"/>
          <w:shd w:val="clear" w:color="auto" w:fill="FFFFFF"/>
          <w14:textFill>
            <w14:solidFill>
              <w14:schemeClr w14:val="tx1"/>
            </w14:solidFill>
          </w14:textFill>
        </w:rPr>
        <w:fldChar w:fldCharType="end"/>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4.3、招标文件获取：</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招标文件出售时间：2017年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日0时00分至2017年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日23时59分。</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招标文件售价：人民币300元/份，售后不退；</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招标文件缴费方式：投标人需转账或电汇支付招标文件费到指定账户，支付账户名称必须和投标人名称一致为已在平顶山市公共资源交易投标人（供应商）库中录入的账户（基本户或一般户均可，不支持结算卡支付）</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4.4、汇入账户和账号（投标保证金账户详见招标文件）：</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收款单位全称：平顶山市公共资源交易中心</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账号：6013301012010093076</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开户银行：平顶山银行行政中心支行</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4.5、潜在投标人网上报名、招标文件费转账成功后，须在平顶山市公共资源电子化交易系统中，将招标文件费成功绑定至所投项目，之后方可下载招标文件，纸质招标文件不再出售。具体操作请查看以下链接：</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链接地址：http://www.pdsggzy.com/fwzn/11597.jhtml</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注：考虑到人为操作和跨行转账时间延误等因素，招标文件费绑定工作的时间为开始报名起至投标文件递交截止时间前一日24:00止，请投标人尽早进行招标文件费绑定工作。</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4.6、其他事项：</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4.6.1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4.6.2、招标文件费收取，交费绑定后才能下载招标文件。</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4.6.3、投标人少交保证金属无效缴纳。</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5、开标及投标文件的递交</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5.1、开标时间及投标文件递交的截止时间：2017年</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27</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10</w:t>
      </w:r>
      <w:r>
        <w:rPr>
          <w:rFonts w:hint="eastAsia" w:ascii="宋体" w:hAnsi="宋体" w:cs="宋体"/>
          <w:color w:val="000000" w:themeColor="text1"/>
          <w14:textFill>
            <w14:solidFill>
              <w14:schemeClr w14:val="tx1"/>
            </w14:solidFill>
          </w14:textFill>
        </w:rPr>
        <w:t>点整。</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5.2、开标地点及投标文件递交地点：平顶山市公共资源交易中心。</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5.3、逾期送达的投标文件，招标人不予受理。</w:t>
      </w:r>
    </w:p>
    <w:p>
      <w:pPr>
        <w:pStyle w:val="3"/>
        <w:widowControl w:val="0"/>
        <w:kinsoku w:val="0"/>
        <w:overflowPunct w:val="0"/>
        <w:autoSpaceDE w:val="0"/>
        <w:autoSpaceDN w:val="0"/>
        <w:adjustRightInd w:val="0"/>
        <w:snapToGrid w:val="0"/>
        <w:spacing w:beforeAutospacing="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6、发布公告的媒介</w:t>
      </w:r>
    </w:p>
    <w:p>
      <w:pPr>
        <w:pStyle w:val="3"/>
        <w:widowControl w:val="0"/>
        <w:kinsoku w:val="0"/>
        <w:overflowPunct w:val="0"/>
        <w:autoSpaceDE w:val="0"/>
        <w:autoSpaceDN w:val="0"/>
        <w:adjustRightInd w:val="0"/>
        <w:snapToGrid w:val="0"/>
        <w:spacing w:beforeAutospacing="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本次招标公告同时在《中国采购与招标网》、《河南招标采购综合网》、《河南省政府采购网》、《平顶山市政府采购网》、《河南省公共资源交易公共服务平台》及《全国公共资源交易平台（河南省</w:t>
      </w:r>
      <w:r>
        <w:rPr>
          <w:rFonts w:hint="eastAsia"/>
          <w:color w:val="000000" w:themeColor="text1"/>
          <w:sz w:val="21"/>
          <w:szCs w:val="21"/>
          <w:shd w:val="clear" w:color="auto" w:fill="FFFFFF"/>
          <w14:textFill>
            <w14:solidFill>
              <w14:schemeClr w14:val="tx1"/>
            </w14:solidFill>
          </w14:textFill>
        </w:rPr>
        <w:t>·</w:t>
      </w:r>
      <w:r>
        <w:rPr>
          <w:rFonts w:hint="eastAsia"/>
          <w:color w:val="000000" w:themeColor="text1"/>
          <w:sz w:val="21"/>
          <w:szCs w:val="21"/>
          <w14:textFill>
            <w14:solidFill>
              <w14:schemeClr w14:val="tx1"/>
            </w14:solidFill>
          </w14:textFill>
        </w:rPr>
        <w:t>平顶山市）》上发布。</w:t>
      </w:r>
    </w:p>
    <w:p>
      <w:pPr>
        <w:pStyle w:val="3"/>
        <w:widowControl w:val="0"/>
        <w:kinsoku w:val="0"/>
        <w:overflowPunct w:val="0"/>
        <w:autoSpaceDE w:val="0"/>
        <w:autoSpaceDN w:val="0"/>
        <w:adjustRightInd w:val="0"/>
        <w:snapToGrid w:val="0"/>
        <w:spacing w:beforeAutospacing="0" w:afterAutospacing="0" w:line="360"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7、联系方式</w:t>
      </w:r>
    </w:p>
    <w:p>
      <w:pPr>
        <w:kinsoku w:val="0"/>
        <w:overflowPunct w:val="0"/>
        <w:autoSpaceDE w:val="0"/>
        <w:autoSpaceDN w:val="0"/>
        <w:adjustRightInd w:val="0"/>
        <w:snapToGrid w:val="0"/>
        <w:spacing w:line="360" w:lineRule="auto"/>
        <w:ind w:firstLine="4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招标人：郏县公安交通警察大队</w:t>
      </w:r>
    </w:p>
    <w:p>
      <w:pPr>
        <w:pStyle w:val="2"/>
        <w:keepNext w:val="0"/>
        <w:keepLines w:val="0"/>
        <w:kinsoku w:val="0"/>
        <w:overflowPunct w:val="0"/>
        <w:autoSpaceDE w:val="0"/>
        <w:autoSpaceDN w:val="0"/>
        <w:adjustRightInd w:val="0"/>
        <w:snapToGrid w:val="0"/>
        <w:ind w:firstLine="420" w:firstLineChars="200"/>
        <w:rPr>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地址：郏县复兴路南段</w:t>
      </w:r>
    </w:p>
    <w:p>
      <w:pPr>
        <w:pStyle w:val="2"/>
        <w:keepNext w:val="0"/>
        <w:keepLines w:val="0"/>
        <w:kinsoku w:val="0"/>
        <w:overflowPunct w:val="0"/>
        <w:autoSpaceDE w:val="0"/>
        <w:autoSpaceDN w:val="0"/>
        <w:adjustRightInd w:val="0"/>
        <w:snapToGrid w:val="0"/>
        <w:ind w:firstLine="420"/>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联系人：王先生    13663090319</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代理机构：河南驰翔工程管理有限公司</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联系人：杨先生      0375-7036550  17737550972 </w:t>
      </w:r>
    </w:p>
    <w:p>
      <w:pPr>
        <w:kinsoku w:val="0"/>
        <w:overflowPunct w:val="0"/>
        <w:autoSpaceDE w:val="0"/>
        <w:autoSpaceDN w:val="0"/>
        <w:adjustRightInd w:val="0"/>
        <w:snapToGrid w:val="0"/>
        <w:spacing w:line="360" w:lineRule="auto"/>
        <w:ind w:firstLine="42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联系地址：平顶山市新城区长安大道与育英路交叉口蓝湾国际公寓东一单元5楼</w:t>
      </w:r>
    </w:p>
    <w:p>
      <w:pPr>
        <w:pStyle w:val="2"/>
        <w:keepNext w:val="0"/>
        <w:keepLines w:val="0"/>
        <w:kinsoku w:val="0"/>
        <w:overflowPunct w:val="0"/>
        <w:autoSpaceDE w:val="0"/>
        <w:autoSpaceDN w:val="0"/>
        <w:adjustRightInd w:val="0"/>
        <w:snapToGrid w:val="0"/>
        <w:ind w:firstLine="420"/>
        <w:jc w:val="right"/>
        <w:rPr>
          <w:rFonts w:ascii="宋体" w:hAnsi="宋体" w:cs="宋体"/>
          <w:b w:val="0"/>
          <w:bCs w:val="0"/>
          <w:color w:val="000000" w:themeColor="text1"/>
          <w14:textFill>
            <w14:solidFill>
              <w14:schemeClr w14:val="tx1"/>
            </w14:solidFill>
          </w14:textFill>
        </w:rPr>
      </w:pPr>
      <w:r>
        <w:rPr>
          <w:rFonts w:hint="eastAsia" w:ascii="宋体" w:hAnsi="宋体" w:cs="宋体"/>
          <w:b w:val="0"/>
          <w:bCs w:val="0"/>
          <w:color w:val="000000" w:themeColor="text1"/>
          <w14:textFill>
            <w14:solidFill>
              <w14:schemeClr w14:val="tx1"/>
            </w14:solidFill>
          </w14:textFill>
        </w:rPr>
        <w:t>2017年</w:t>
      </w:r>
      <w:r>
        <w:rPr>
          <w:rFonts w:hint="eastAsia" w:ascii="宋体" w:hAnsi="宋体" w:cs="宋体"/>
          <w:b w:val="0"/>
          <w:bCs w:val="0"/>
          <w:color w:val="000000" w:themeColor="text1"/>
          <w:lang w:val="en-US" w:eastAsia="zh-CN"/>
          <w14:textFill>
            <w14:solidFill>
              <w14:schemeClr w14:val="tx1"/>
            </w14:solidFill>
          </w14:textFill>
        </w:rPr>
        <w:t>9</w:t>
      </w:r>
      <w:r>
        <w:rPr>
          <w:rFonts w:hint="eastAsia" w:ascii="宋体" w:hAnsi="宋体" w:cs="宋体"/>
          <w:b w:val="0"/>
          <w:bCs w:val="0"/>
          <w:color w:val="000000" w:themeColor="text1"/>
          <w14:textFill>
            <w14:solidFill>
              <w14:schemeClr w14:val="tx1"/>
            </w14:solidFill>
          </w14:textFill>
        </w:rPr>
        <w:t>月</w:t>
      </w:r>
      <w:r>
        <w:rPr>
          <w:rFonts w:hint="eastAsia" w:ascii="宋体" w:hAnsi="宋体" w:cs="宋体"/>
          <w:b w:val="0"/>
          <w:bCs w:val="0"/>
          <w:color w:val="000000" w:themeColor="text1"/>
          <w:lang w:val="en-US" w:eastAsia="zh-CN"/>
          <w14:textFill>
            <w14:solidFill>
              <w14:schemeClr w14:val="tx1"/>
            </w14:solidFill>
          </w14:textFill>
        </w:rPr>
        <w:t>1</w:t>
      </w:r>
      <w:r>
        <w:rPr>
          <w:rFonts w:hint="eastAsia" w:ascii="宋体" w:hAnsi="宋体" w:cs="宋体"/>
          <w:b w:val="0"/>
          <w:bCs w:val="0"/>
          <w:color w:val="000000" w:themeColor="text1"/>
          <w14:textFill>
            <w14:solidFill>
              <w14:schemeClr w14:val="tx1"/>
            </w14:solidFill>
          </w14:textFill>
        </w:rPr>
        <w:t>日</w:t>
      </w:r>
    </w:p>
    <w:p>
      <w:pPr>
        <w:kinsoku w:val="0"/>
        <w:overflowPunct w:val="0"/>
        <w:autoSpaceDE w:val="0"/>
        <w:autoSpaceDN w:val="0"/>
        <w:adjustRightInd w:val="0"/>
        <w:snapToGrid w:val="0"/>
        <w:spacing w:line="360" w:lineRule="auto"/>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BACUMH+FangSong_GB2312-Identity">
    <w:altName w:val="Palatino Linotype"/>
    <w:panose1 w:val="00000000000000000000"/>
    <w:charset w:val="01"/>
    <w:family w:val="auto"/>
    <w:pitch w:val="default"/>
    <w:sig w:usb0="00000000" w:usb1="00000000" w:usb2="00000000" w:usb3="00000000" w:csb0="00000000" w:csb1="00000000"/>
  </w:font>
  <w:font w:name="OHVDGW+FangSong_GB2312-Identity">
    <w:altName w:val="Palatino Linotype"/>
    <w:panose1 w:val="00000000000000000000"/>
    <w:charset w:val="01"/>
    <w:family w:val="auto"/>
    <w:pitch w:val="default"/>
    <w:sig w:usb0="00000000" w:usb1="00000000" w:usb2="00000000" w:usb3="00000000" w:csb0="00000000" w:csb1="00000000"/>
  </w:font>
  <w:font w:name="LAWTEP+FangSong_GB2312-Identity">
    <w:altName w:val="Palatino Linotype"/>
    <w:panose1 w:val="00000000000000000000"/>
    <w:charset w:val="01"/>
    <w:family w:val="auto"/>
    <w:pitch w:val="default"/>
    <w:sig w:usb0="00000000" w:usb1="00000000" w:usb2="00000000" w:usb3="00000000" w:csb0="00000000" w:csb1="00000000"/>
  </w:font>
  <w:font w:name="FOWGTG+FangSong_GB2312-Identity">
    <w:altName w:val="Palatino Linotype"/>
    <w:panose1 w:val="00000000000000000000"/>
    <w:charset w:val="01"/>
    <w:family w:val="auto"/>
    <w:pitch w:val="default"/>
    <w:sig w:usb0="00000000" w:usb1="00000000" w:usb2="00000000" w:usb3="00000000" w:csb0="00000000" w:csb1="00000000"/>
  </w:font>
  <w:font w:name="PRNWCD+FangSong_GB2312-Identity">
    <w:altName w:val="Palatino Linotype"/>
    <w:panose1 w:val="00000000000000000000"/>
    <w:charset w:val="01"/>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楷体">
    <w:altName w:val="楷体_GB2312"/>
    <w:panose1 w:val="02010609060101010101"/>
    <w:charset w:val="86"/>
    <w:family w:val="modern"/>
    <w:pitch w:val="default"/>
    <w:sig w:usb0="00000000" w:usb1="00000000"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PMingLiU-ExtB">
    <w:altName w:val="PMingLiU"/>
    <w:panose1 w:val="02020500000000000000"/>
    <w:charset w:val="88"/>
    <w:family w:val="auto"/>
    <w:pitch w:val="default"/>
    <w:sig w:usb0="00000000" w:usb1="00000000"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隶书">
    <w:altName w:val="宋体"/>
    <w:panose1 w:val="02010509060101010101"/>
    <w:charset w:val="86"/>
    <w:family w:val="modern"/>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PMingLiU">
    <w:panose1 w:val="02020300000000000000"/>
    <w:charset w:val="88"/>
    <w:family w:val="auto"/>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lucida Grande">
    <w:altName w:val="仿宋_GB2312"/>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A03D7"/>
    <w:rsid w:val="0CDA03D7"/>
    <w:rsid w:val="4E005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4"/>
    <w:basedOn w:val="1"/>
    <w:next w:val="1"/>
    <w:unhideWhenUsed/>
    <w:qFormat/>
    <w:uiPriority w:val="0"/>
    <w:pPr>
      <w:keepNext/>
      <w:keepLines/>
      <w:spacing w:line="360" w:lineRule="auto"/>
      <w:outlineLvl w:val="3"/>
    </w:pPr>
    <w:rPr>
      <w:rFonts w:ascii="Arial" w:hAnsi="Arial" w:cs="Arial"/>
      <w:b/>
      <w:bCs/>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Autospacing="1" w:afterAutospacing="1"/>
      <w:jc w:val="left"/>
    </w:pPr>
    <w:rPr>
      <w:rFonts w:ascii="宋体" w:hAnsi="宋体" w:cs="宋体"/>
      <w:kern w:val="0"/>
      <w:sz w:val="24"/>
      <w:szCs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2017-08-30T04:40:00Z</dcterms:created>
  <dc:creator>Administrator</dc:creator>
  <cp:lastModifiedBy>Administrator</cp:lastModifiedBy>
  <dcterms:modified xsi:type="dcterms:W3CDTF">2017-09-01T02:28:49Z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