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b/>
          <w:szCs w:val="21"/>
          <w:u w:val="single"/>
        </w:rPr>
      </w:pPr>
      <w:r>
        <w:rPr>
          <w:rFonts w:hint="eastAsia" w:ascii="宋体" w:hAnsi="宋体"/>
          <w:b/>
          <w:sz w:val="24"/>
          <w:szCs w:val="24"/>
        </w:rPr>
        <w:t>附件二: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     </w:t>
      </w:r>
      <w:r>
        <w:rPr>
          <w:rFonts w:hint="eastAsia"/>
          <w:b/>
          <w:sz w:val="36"/>
          <w:szCs w:val="36"/>
        </w:rPr>
        <w:t>（招标代理机构名称）进场行为评价记录确认表</w:t>
      </w:r>
    </w:p>
    <w:p>
      <w:pPr>
        <w:jc w:val="center"/>
        <w:rPr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1417"/>
        <w:gridCol w:w="311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评价内容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扣分标准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招标代理机构工作人员（签认）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市公共资源交易中心工作人员（签认）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备注：1、序号、评标内容、扣分标准与招标代理机构进场行为评价标准中内容一致；</w:t>
      </w:r>
    </w:p>
    <w:p>
      <w:pPr>
        <w:spacing w:line="400" w:lineRule="exact"/>
        <w:ind w:firstLine="636" w:firstLineChars="303"/>
        <w:rPr>
          <w:szCs w:val="21"/>
        </w:rPr>
      </w:pPr>
      <w:r>
        <w:rPr>
          <w:rFonts w:hint="eastAsia"/>
          <w:szCs w:val="21"/>
        </w:rPr>
        <w:t>2、要求招标代理机构工作人员现场签认，交易中心值班人员和科室负责人共同签认；若招标代理机构工作人员未签认，则由交易中心两名以上值班人员共同签认；</w:t>
      </w:r>
    </w:p>
    <w:p>
      <w:pPr>
        <w:spacing w:line="400" w:lineRule="exact"/>
        <w:ind w:firstLine="636" w:firstLineChars="303"/>
      </w:pPr>
      <w:r>
        <w:rPr>
          <w:rFonts w:hint="eastAsia"/>
          <w:szCs w:val="21"/>
        </w:rPr>
        <w:t>3、被评价机构对评价结果若有异议的，应当在知道或者应当知道评价结果之日起3个工作日内书面向市公共资源交易中心法规科提出。</w:t>
      </w: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381F"/>
    <w:rsid w:val="409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2019-12-30T06:40:00Z</dcterms:created>
  <dc:creator>冷暖（建•行）自知</dc:creator>
  <cp:lastModifiedBy>冷暖（建•行）自知</cp:lastModifiedBy>
  <dcterms:modified xsi:type="dcterms:W3CDTF">2019-12-30T06:41:32Z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