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D" w:rsidRDefault="00EE3925" w:rsidP="00D344BD">
      <w:pPr>
        <w:jc w:val="center"/>
      </w:pPr>
      <w:r w:rsidRPr="00EE3925">
        <w:rPr>
          <w:rFonts w:hint="eastAsia"/>
        </w:rPr>
        <w:t>【平公资建</w:t>
      </w:r>
      <w:r w:rsidRPr="00EE3925">
        <w:rPr>
          <w:rFonts w:hint="eastAsia"/>
        </w:rPr>
        <w:t>202236</w:t>
      </w:r>
      <w:r w:rsidRPr="00EE3925">
        <w:rPr>
          <w:rFonts w:hint="eastAsia"/>
        </w:rPr>
        <w:t>号】尼龙城医药新材料精细化工标准化厂房项目（中国尼龙城医药农药中间体标准化厂房项目）一期</w:t>
      </w:r>
      <w:r w:rsidR="00D344BD" w:rsidRPr="00D344BD">
        <w:rPr>
          <w:rFonts w:hint="eastAsia"/>
        </w:rPr>
        <w:t>异议及</w:t>
      </w:r>
      <w:proofErr w:type="gramStart"/>
      <w:r w:rsidR="00D344BD" w:rsidRPr="00D344BD">
        <w:rPr>
          <w:rFonts w:hint="eastAsia"/>
        </w:rPr>
        <w:t>答复台</w:t>
      </w:r>
      <w:proofErr w:type="gramEnd"/>
      <w:r w:rsidR="00D344BD" w:rsidRPr="00D344BD">
        <w:rPr>
          <w:rFonts w:hint="eastAsia"/>
        </w:rPr>
        <w:t>账</w:t>
      </w:r>
    </w:p>
    <w:p w:rsidR="001D009C" w:rsidRPr="00D344BD" w:rsidRDefault="001D009C" w:rsidP="00D344BD">
      <w:pPr>
        <w:jc w:val="center"/>
      </w:pPr>
    </w:p>
    <w:tbl>
      <w:tblPr>
        <w:tblW w:w="4916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043"/>
        <w:gridCol w:w="3835"/>
        <w:gridCol w:w="1699"/>
        <w:gridCol w:w="1466"/>
        <w:gridCol w:w="1511"/>
        <w:gridCol w:w="3802"/>
      </w:tblGrid>
      <w:tr w:rsidR="00232C8F" w:rsidRPr="00D66E24" w:rsidTr="0005737F">
        <w:trPr>
          <w:trHeight w:val="363"/>
        </w:trPr>
        <w:tc>
          <w:tcPr>
            <w:tcW w:w="23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136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异议/质疑内容</w:t>
            </w:r>
          </w:p>
        </w:tc>
        <w:tc>
          <w:tcPr>
            <w:tcW w:w="6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异议/质疑人名称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05737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异议时间</w:t>
            </w:r>
          </w:p>
        </w:tc>
        <w:tc>
          <w:tcPr>
            <w:tcW w:w="53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05737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答复时间</w:t>
            </w:r>
          </w:p>
        </w:tc>
        <w:tc>
          <w:tcPr>
            <w:tcW w:w="13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</w:t>
            </w:r>
          </w:p>
        </w:tc>
      </w:tr>
      <w:tr w:rsidR="00232C8F" w:rsidRPr="00D66E24" w:rsidTr="0005737F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第一标段</w:t>
            </w:r>
          </w:p>
        </w:tc>
        <w:tc>
          <w:tcPr>
            <w:tcW w:w="136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232C8F" w:rsidRPr="00232C8F" w:rsidRDefault="00232C8F" w:rsidP="00232C8F">
            <w:pPr>
              <w:widowControl/>
              <w:spacing w:line="36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32C8F">
              <w:rPr>
                <w:rFonts w:ascii="微软雅黑" w:eastAsia="微软雅黑" w:hAnsi="微软雅黑" w:hint="eastAsia"/>
                <w:sz w:val="18"/>
                <w:szCs w:val="18"/>
              </w:rPr>
              <w:t>1、控制中心建筑装饰清单中台阶分部第二项清单台阶平台的单位为“立方”，请问此单位是否应该为“平方”？</w:t>
            </w:r>
          </w:p>
          <w:p w:rsidR="00232C8F" w:rsidRPr="00232C8F" w:rsidRDefault="00232C8F" w:rsidP="00232C8F">
            <w:pPr>
              <w:widowControl/>
              <w:spacing w:line="36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32C8F">
              <w:rPr>
                <w:rFonts w:ascii="微软雅黑" w:eastAsia="微软雅黑" w:hAnsi="微软雅黑" w:hint="eastAsia"/>
                <w:sz w:val="18"/>
                <w:szCs w:val="18"/>
              </w:rPr>
              <w:t>2、甲类仓库1、甲类仓库2、丙类仓库1、丙类仓库2这几个单体工程承包人材料中都有ZH-RVS-2*2.5mm此项材料，而清单项中只有ZN-RVS-2*2.5mm，请问此项承包人材料中ZH-RVS-2*2.5mm是否就是ZN-RVS-2*2.5mm？</w:t>
            </w:r>
          </w:p>
          <w:p w:rsidR="001D009C" w:rsidRPr="00D66E24" w:rsidRDefault="00232C8F" w:rsidP="00232C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2C8F"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proofErr w:type="gramStart"/>
            <w:r w:rsidRPr="00232C8F">
              <w:rPr>
                <w:rFonts w:ascii="微软雅黑" w:eastAsia="微软雅黑" w:hAnsi="微软雅黑" w:hint="eastAsia"/>
                <w:sz w:val="18"/>
                <w:szCs w:val="18"/>
              </w:rPr>
              <w:t>维保间</w:t>
            </w:r>
            <w:proofErr w:type="gramEnd"/>
            <w:r w:rsidRPr="00232C8F">
              <w:rPr>
                <w:rFonts w:ascii="微软雅黑" w:eastAsia="微软雅黑" w:hAnsi="微软雅黑" w:hint="eastAsia"/>
                <w:sz w:val="18"/>
                <w:szCs w:val="18"/>
              </w:rPr>
              <w:t>消防工程承包人材料中有沟槽直接头DN100，而清单中没有DN100的管道，请问此项材料是否有误？</w:t>
            </w:r>
          </w:p>
        </w:tc>
        <w:tc>
          <w:tcPr>
            <w:tcW w:w="6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232C8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平煤神马建工集团有限公司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05737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2022/01/24 16:08:55</w:t>
            </w:r>
          </w:p>
        </w:tc>
        <w:tc>
          <w:tcPr>
            <w:tcW w:w="53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05737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2022/01/25 16:37:13</w:t>
            </w:r>
          </w:p>
        </w:tc>
        <w:tc>
          <w:tcPr>
            <w:tcW w:w="13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232C8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、控制中心-建筑装饰工程量清单及招标控制价中室外工程台阶分部第2项项目编码为010404001001“台阶平台”的单位应为“m2”，各投标单位上传投标预算时以“m3”为单位，以“m2”为单位进行组价；工程竣工结算时本项以“m2”为单位进行结算。 2、甲类仓库1消防工程、甲类仓库2消防工程、丙类仓库1消防工程及丙类仓库2消防工程工程量清单及招标控制价中“承包人提供主要材料和工程设备一览表”中“ZH-RVS-2*2.5mm”应为“ZN-RVS-2*2.5mm”，各投标单位上传投标预算时以“ZH-RVS-2*2.5mm”进行编制，工程竣工结算时本项以“ZN-RVS-2*2.5mm”进行结算。 3、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维保间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-消防工程工程量清单及招标控制价中“承包人提供主要材料和工程设备一览表”中“沟槽直接头DN100”应为“沟槽直接头DN65”，各投标单位上传投标预算时以“沟槽直接头DN100”编制，工程竣工结算时本项以“沟槽直接头DN65”进行结算。</w:t>
            </w:r>
          </w:p>
        </w:tc>
      </w:tr>
      <w:tr w:rsidR="00232C8F" w:rsidRPr="00D66E24" w:rsidTr="0005737F">
        <w:trPr>
          <w:trHeight w:val="124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第一标段</w:t>
            </w:r>
          </w:p>
        </w:tc>
        <w:tc>
          <w:tcPr>
            <w:tcW w:w="136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232C8F" w:rsidP="00A00815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控制中心、甲类厂房1、甲类厂房2、甲类厂房3的专业工程暂估价均由两部分组成，上传的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egp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文件中只有一个总价，请给出专业工程暂估价组成的明细？</w:t>
            </w:r>
          </w:p>
        </w:tc>
        <w:tc>
          <w:tcPr>
            <w:tcW w:w="6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232C8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平煤神马建工集团有限公司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05737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2022/01/13 15:15:42</w:t>
            </w:r>
          </w:p>
        </w:tc>
        <w:tc>
          <w:tcPr>
            <w:tcW w:w="53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05737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2022/01/13 15:32:19</w:t>
            </w:r>
          </w:p>
        </w:tc>
        <w:tc>
          <w:tcPr>
            <w:tcW w:w="13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A00815" w:rsidP="00232C8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详见附件</w:t>
            </w:r>
            <w:r w:rsid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32C8F" w:rsidRPr="00D66E24" w:rsidTr="00232C8F">
        <w:trPr>
          <w:trHeight w:val="124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232C8F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232C8F" w:rsidP="002757F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第一标段</w:t>
            </w:r>
          </w:p>
        </w:tc>
        <w:tc>
          <w:tcPr>
            <w:tcW w:w="136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232C8F" w:rsidP="002757F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、招标公告3.1.5拟派人员专业和数量满足《河南省建筑与市政工程施工现场从业人员管理标准》（DBJ41_T_141-2014）相关规定。施工员、质量员、安全员各2人；标准员（可兼职本单位的其他岗位）、测量员、材料员、机械员、试验员、造价员、劳务员（可兼职本单位的其他岗位）、资料员各1人，须具有有效的岗位证书。 问题：我公司所在地住建部已取消测量员、试验员、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造价员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岗位证。请问测量员可否用职称证代替，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试验员可否用试验检测师证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代替，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造价员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可否用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造价师证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代替。</w:t>
            </w:r>
          </w:p>
        </w:tc>
        <w:tc>
          <w:tcPr>
            <w:tcW w:w="6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232C8F" w:rsidP="002757F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中铁十八局集团有限公司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05737F" w:rsidP="002757F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2022/01/08 10:51:59</w:t>
            </w:r>
          </w:p>
        </w:tc>
        <w:tc>
          <w:tcPr>
            <w:tcW w:w="53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05737F" w:rsidP="002757F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5737F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2022/01/11 08:22:52</w:t>
            </w:r>
            <w:bookmarkStart w:id="0" w:name="_GoBack"/>
            <w:bookmarkEnd w:id="0"/>
          </w:p>
        </w:tc>
        <w:tc>
          <w:tcPr>
            <w:tcW w:w="13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232C8F" w:rsidRPr="00D66E24" w:rsidRDefault="00232C8F" w:rsidP="002757F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招标公告3.1.5要求的施工员、质量员、安全员各2人；标准员（可兼职本单位的其他岗位）、测量员、材料员、机械员、试验员、造价员、劳务员（可兼职本单位的其他岗位）、资料员各1人，须具有有效的岗位证书，岗位证书可以是住</w:t>
            </w:r>
            <w:proofErr w:type="gramStart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建部门</w:t>
            </w:r>
            <w:proofErr w:type="gramEnd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或协会或培训机构或具备自主评定能力的企业颁发的证书。</w:t>
            </w:r>
            <w:proofErr w:type="gramStart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试验员可以用试验检测师证</w:t>
            </w:r>
            <w:proofErr w:type="gramEnd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代替，</w:t>
            </w:r>
            <w:proofErr w:type="gramStart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造价员</w:t>
            </w:r>
            <w:proofErr w:type="gramEnd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可以用</w:t>
            </w:r>
            <w:proofErr w:type="gramStart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造价师证</w:t>
            </w:r>
            <w:proofErr w:type="gramEnd"/>
            <w:r w:rsidRPr="00232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代替。</w:t>
            </w:r>
          </w:p>
        </w:tc>
      </w:tr>
    </w:tbl>
    <w:p w:rsidR="001D009C" w:rsidRDefault="001D009C" w:rsidP="00EE3925"/>
    <w:p w:rsidR="00232C8F" w:rsidRDefault="00232C8F" w:rsidP="00EE3925"/>
    <w:p w:rsidR="00232C8F" w:rsidRDefault="00232C8F" w:rsidP="00EE3925"/>
    <w:p w:rsidR="00232C8F" w:rsidRDefault="00232C8F" w:rsidP="00EE3925"/>
    <w:p w:rsidR="00232C8F" w:rsidRDefault="00232C8F" w:rsidP="00EE3925"/>
    <w:p w:rsidR="00232C8F" w:rsidRDefault="00232C8F" w:rsidP="00EE3925"/>
    <w:p w:rsidR="00232C8F" w:rsidRDefault="00232C8F" w:rsidP="00EE3925"/>
    <w:p w:rsidR="00232C8F" w:rsidRDefault="00232C8F" w:rsidP="00EE3925"/>
    <w:p w:rsidR="00232C8F" w:rsidRDefault="00232C8F" w:rsidP="00EE3925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232C8F" w:rsidRPr="00A00815" w:rsidRDefault="00232C8F" w:rsidP="00EE3925">
      <w:r>
        <w:rPr>
          <w:rFonts w:hint="eastAsia"/>
          <w:noProof/>
        </w:rPr>
        <w:drawing>
          <wp:inline distT="0" distB="0" distL="0" distR="0">
            <wp:extent cx="8858250" cy="781050"/>
            <wp:effectExtent l="0" t="0" r="0" b="0"/>
            <wp:docPr id="2" name="图片 2" descr="C:\Users\Administrator\Desktop\微信截图_20221209103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12091032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C8F" w:rsidRPr="00A00815" w:rsidSect="00D66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71" w:rsidRDefault="00B54F71" w:rsidP="00A00815">
      <w:r>
        <w:separator/>
      </w:r>
    </w:p>
  </w:endnote>
  <w:endnote w:type="continuationSeparator" w:id="0">
    <w:p w:rsidR="00B54F71" w:rsidRDefault="00B54F71" w:rsidP="00A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71" w:rsidRDefault="00B54F71" w:rsidP="00A00815">
      <w:r>
        <w:separator/>
      </w:r>
    </w:p>
  </w:footnote>
  <w:footnote w:type="continuationSeparator" w:id="0">
    <w:p w:rsidR="00B54F71" w:rsidRDefault="00B54F71" w:rsidP="00A0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C"/>
    <w:rsid w:val="0005737F"/>
    <w:rsid w:val="001D009C"/>
    <w:rsid w:val="00232C8F"/>
    <w:rsid w:val="002E1F27"/>
    <w:rsid w:val="003277D2"/>
    <w:rsid w:val="005B0553"/>
    <w:rsid w:val="006E0E31"/>
    <w:rsid w:val="00750B6C"/>
    <w:rsid w:val="00A00815"/>
    <w:rsid w:val="00B54F71"/>
    <w:rsid w:val="00D344BD"/>
    <w:rsid w:val="00D66E24"/>
    <w:rsid w:val="00EB021B"/>
    <w:rsid w:val="00E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驰远工程管理有限公司:张离</cp:lastModifiedBy>
  <cp:revision>12</cp:revision>
  <dcterms:created xsi:type="dcterms:W3CDTF">2022-12-08T06:48:00Z</dcterms:created>
  <dcterms:modified xsi:type="dcterms:W3CDTF">2022-12-15T10:30:00Z</dcterms:modified>
</cp:coreProperties>
</file>